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2.png" ContentType="image/png"/>
  <Override PartName="/word/media/image1.jpeg" ContentType="image/jpeg"/>
  <Override PartName="/word/media/image3.png" ContentType="image/png"/>
  <Override PartName="/word/media/image5.jpeg" ContentType="image/jpeg"/>
  <Override PartName="/word/media/image4.png" ContentType="image/png"/>
  <Override PartName="/word/header1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Георешетка гексагональная </w:t>
      </w:r>
    </w:p>
    <w:p>
      <w:pPr>
        <w:pStyle w:val="Style19"/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«СТАБАРМ ТХ»</w:t>
      </w:r>
    </w:p>
    <w:p>
      <w:pPr>
        <w:pStyle w:val="Style19"/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/>
      </w:pPr>
      <w:r>
        <w:rPr>
          <w:rFonts w:cs="Times New Roman" w:ascii="Times New Roman" w:hAnsi="Times New Roman"/>
          <w:b/>
          <w:sz w:val="24"/>
          <w:szCs w:val="24"/>
        </w:rPr>
        <w:t>Нормативно-техническая документация</w:t>
      </w:r>
    </w:p>
    <w:p>
      <w:pPr>
        <w:pStyle w:val="Style19"/>
        <w:numPr>
          <w:ilvl w:val="0"/>
          <w:numId w:val="4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СТО 30978849.0007-2023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ГЕОРЕШЕТКА ПЛАСТМАССОВАЯ ЭКСТРУДИРОВАННАЯ ПОЛИМЕРНАЯ ТРИАКСИАЛЬНАЯ (ГЕКСАГОНАЛЬНАЯ) С ТРЕУГОЛЬНОЙ ЯЧЕЙКОЙ МАРКИ «СТАБАРМ»</w:t>
      </w:r>
    </w:p>
    <w:p>
      <w:pPr>
        <w:pStyle w:val="Style19"/>
        <w:numPr>
          <w:ilvl w:val="0"/>
          <w:numId w:val="4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Сертификат соответствия РОСС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.32001.04 ИБФ1.ОСП28.39966 срок действия до 25.09.2026</w:t>
      </w:r>
    </w:p>
    <w:p>
      <w:pPr>
        <w:pStyle w:val="Style19"/>
        <w:numPr>
          <w:ilvl w:val="0"/>
          <w:numId w:val="4"/>
        </w:numPr>
        <w:spacing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Протоколы испытаний №0222/ИЦ-23 от 08.09.2023, №0309/ИЦ-23 от 09.03.2023, №0316/ИЦ-23 от 16.03.2023</w:t>
      </w:r>
      <w:r>
        <w:rPr/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и №0404/ИЦ-23 от 03.04.2023 Региональный сертификационный центр «ОПЫТНОЕ». Испытательный цент «ОПЫТНОЕ». Аттестат аккредитации №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en-US"/>
        </w:rPr>
        <w:t>RA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.21.ПЖ16</w:t>
      </w:r>
    </w:p>
    <w:p>
      <w:pPr>
        <w:pStyle w:val="Style19"/>
        <w:numPr>
          <w:ilvl w:val="0"/>
          <w:numId w:val="4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Согласование применения на объектах ФДА (РОСАВТОДОР) письмо № 01-29/48760 от 11.12.2023</w:t>
      </w:r>
    </w:p>
    <w:p>
      <w:pPr>
        <w:pStyle w:val="Style19"/>
        <w:numPr>
          <w:ilvl w:val="0"/>
          <w:numId w:val="4"/>
        </w:numPr>
        <w:spacing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Соответствует ГОСТ 56338-2015 «Материалы геосинтетические для армирования нижних слоев основания дорожной одежды» Изм.1 от 01.07.2023</w:t>
      </w:r>
    </w:p>
    <w:p>
      <w:pPr>
        <w:pStyle w:val="Style19"/>
        <w:spacing w:before="0" w:after="0"/>
        <w:ind w:left="0" w:hanging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Общее описание</w:t>
      </w:r>
    </w:p>
    <w:p>
      <w:pPr>
        <w:pStyle w:val="Normal"/>
        <w:numPr>
          <w:ilvl w:val="0"/>
          <w:numId w:val="0"/>
        </w:numPr>
        <w:spacing w:before="0" w:after="0"/>
        <w:ind w:firstLine="708"/>
        <w:jc w:val="both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>Гексагональные решетки «СТАБАРМ» - плоские полипропиленовые решетки с гексагональной (треугольной) ячейкой, специально разработанные для применения в конструкциях дорожных одежд, для строительства на слабых грунтах, а также в конструкциях, воспринимающих высокие динамические или статистические нагрузки, в том числе.</w:t>
      </w:r>
    </w:p>
    <w:p>
      <w:pPr>
        <w:pStyle w:val="Normal"/>
        <w:numPr>
          <w:ilvl w:val="0"/>
          <w:numId w:val="0"/>
        </w:numPr>
        <w:spacing w:before="0"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lang w:val="en-US" w:eastAsia="en-US"/>
        </w:rPr>
        <w:drawing>
          <wp:anchor behindDoc="0" distT="0" distB="0" distL="114935" distR="114935" simplePos="0" locked="0" layoutInCell="0" allowOverlap="1" relativeHeight="26">
            <wp:simplePos x="0" y="0"/>
            <wp:positionH relativeFrom="column">
              <wp:posOffset>1920875</wp:posOffset>
            </wp:positionH>
            <wp:positionV relativeFrom="paragraph">
              <wp:posOffset>79375</wp:posOffset>
            </wp:positionV>
            <wp:extent cx="2644140" cy="2103755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11" r="-5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pacing w:before="0"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зависимости от поставленных задач георешетки выпускаются с прочностью 20 и 30 кН/м (возможно изготовление георешеток меньшей прочности).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необходимости георешетка может изготавливаться с прикаткой (термоскреплением) гетекстиля, образуя при этом композитный материал.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n-US"/>
        </w:rPr>
      </w:pPr>
      <w:bookmarkStart w:id="0" w:name="_Hlk164237287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Эффективность применения георешеток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«СТАБАРМ ТХ»</w:t>
      </w:r>
    </w:p>
    <w:p>
      <w:pPr>
        <w:pStyle w:val="Normal"/>
        <w:numPr>
          <w:ilvl w:val="0"/>
          <w:numId w:val="2"/>
        </w:numPr>
        <w:spacing w:before="0" w:after="0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Hlk164237287"/>
      <w:bookmarkStart w:id="2" w:name="_Hlk164237753"/>
      <w:bookmarkEnd w:id="1"/>
      <w:r>
        <w:rPr>
          <w:rFonts w:cs="Times New Roman" w:ascii="Times New Roman" w:hAnsi="Times New Roman"/>
          <w:sz w:val="24"/>
          <w:szCs w:val="24"/>
        </w:rPr>
        <w:t>сокращение толщины несущего слоя основания или увеличения сроков службы покрытия за счет повышения прочности слоя основания;</w:t>
      </w:r>
    </w:p>
    <w:p>
      <w:pPr>
        <w:pStyle w:val="Normal"/>
        <w:numPr>
          <w:ilvl w:val="0"/>
          <w:numId w:val="2"/>
        </w:numPr>
        <w:spacing w:before="0" w:after="0"/>
        <w:ind w:left="426" w:hanging="426"/>
        <w:jc w:val="both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>улучшение условий формирования слоя основания за счет создания на контакте защитного слоя, препятствующего перемешиванию материалов несущего слоя основания и дополнительного слоя основания;</w:t>
      </w:r>
    </w:p>
    <w:p>
      <w:pPr>
        <w:pStyle w:val="Normal"/>
        <w:numPr>
          <w:ilvl w:val="0"/>
          <w:numId w:val="2"/>
        </w:numPr>
        <w:spacing w:before="0" w:after="0"/>
        <w:ind w:left="426" w:hanging="426"/>
        <w:jc w:val="both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>улучшение «работы» основания под действием динамических нагрузок за счет обеспечения совместной работы отдельных частиц крупнофракционных материалов, объединенных в результате расположения в ячейках гексагональной решетки («блокировка» крупнофракционного материала в ячейках георешетки).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bookmarkStart w:id="3" w:name="_Hlk164237753"/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Достигаемые результаты приводят к качественному улучшению дорожной конструкции, что частично может быть подтверждено количественно расчетами</w:t>
      </w:r>
      <w:bookmarkEnd w:id="3"/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autoSpaceDE w:val="false"/>
        <w:spacing w:before="0" w:after="0"/>
        <w:jc w:val="center"/>
        <w:rPr/>
      </w:pPr>
      <w:bookmarkStart w:id="4" w:name="_Hlk164237348"/>
      <w:bookmarkEnd w:id="4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Основные области применения георешеток «СТАБАРМ ТХ»</w:t>
      </w:r>
    </w:p>
    <w:p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Hlk164237348"/>
      <w:bookmarkEnd w:id="5"/>
      <w:r>
        <w:rPr>
          <w:rFonts w:cs="Times New Roman" w:ascii="Times New Roman" w:hAnsi="Times New Roman"/>
          <w:sz w:val="24"/>
          <w:szCs w:val="24"/>
        </w:rPr>
        <w:t xml:space="preserve">армирование конструктивных слоев дорожных одежд в ходе строительства новых и реконструкции существующих автодорог; </w:t>
      </w:r>
    </w:p>
    <w:p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устройство временных и технологических дорог; </w:t>
      </w:r>
    </w:p>
    <w:p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обеспечение проезда техники к объектам строительства; </w:t>
      </w:r>
    </w:p>
    <w:p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уширение проезжей части и укрепление обочин; </w:t>
      </w:r>
    </w:p>
    <w:p>
      <w:pPr>
        <w:pStyle w:val="Normal"/>
        <w:numPr>
          <w:ilvl w:val="0"/>
          <w:numId w:val="3"/>
        </w:numPr>
        <w:spacing w:before="0" w:after="0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строительство площадок под высокие нагрузки.</w:t>
      </w:r>
    </w:p>
    <w:p>
      <w:pPr>
        <w:pStyle w:val="Normal"/>
        <w:numPr>
          <w:ilvl w:val="0"/>
          <w:numId w:val="0"/>
        </w:numPr>
        <w:spacing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Геометрические размеры георешеток «СТАБАРМ ТХ»</w:t>
      </w:r>
    </w:p>
    <w:tbl>
      <w:tblPr>
        <w:tblW w:w="92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10"/>
        <w:gridCol w:w="1559"/>
      </w:tblGrid>
      <w:tr>
        <w:trPr>
          <w:trHeight w:val="1059" w:hRule="atLeast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en-US"/>
              </w:rPr>
              <w:drawing>
                <wp:anchor behindDoc="0" distT="0" distB="0" distL="114935" distR="114935" simplePos="0" locked="0" layoutInCell="1" allowOverlap="1" relativeHeight="27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127635</wp:posOffset>
                  </wp:positionV>
                  <wp:extent cx="2836545" cy="2094865"/>
                  <wp:effectExtent l="0" t="0" r="0" b="0"/>
                  <wp:wrapNone/>
                  <wp:docPr id="2" name="Рисунок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20516" t="-5" r="21380" b="15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5" cy="209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Значение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показателя</w:t>
            </w:r>
          </w:p>
        </w:tc>
      </w:tr>
      <w:tr>
        <w:trPr>
          <w:trHeight w:val="523" w:hRule="atLeast"/>
        </w:trPr>
        <w:tc>
          <w:tcPr>
            <w:tcW w:w="5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b/>
                <w:sz w:val="20"/>
                <w:szCs w:val="20"/>
              </w:rPr>
            </w:pPr>
            <w:r>
              <w:rPr>
                <w:rFonts w:eastAsia="Times New Roman"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Ширина рулона, м,  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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1 %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607" w:hRule="atLeast"/>
        </w:trPr>
        <w:tc>
          <w:tcPr>
            <w:tcW w:w="5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0"/>
                <w:szCs w:val="20"/>
              </w:rPr>
            </w:pPr>
            <w:r>
              <w:rPr>
                <w:rFonts w:eastAsia="Times New Roman" w:cs="Arial Narrow" w:ascii="Arial Narrow" w:hAnsi="Arial Narrow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Длина рулона стандартная, м, </w:t>
            </w:r>
            <w:r>
              <w:rPr>
                <w:rFonts w:eastAsia="Symbol" w:cs="Symbol" w:ascii="Symbol" w:hAnsi="Symbol"/>
                <w:sz w:val="20"/>
                <w:szCs w:val="20"/>
              </w:rPr>
              <w:t>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</w:t>
            </w:r>
          </w:p>
        </w:tc>
      </w:tr>
      <w:tr>
        <w:trPr>
          <w:trHeight w:val="153" w:hRule="atLeast"/>
        </w:trPr>
        <w:tc>
          <w:tcPr>
            <w:tcW w:w="5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hd w:fill="FFFFFF" w:val="clear"/>
              <w:autoSpaceDE w:val="false"/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b/>
                <w:b/>
                <w:sz w:val="20"/>
                <w:szCs w:val="20"/>
              </w:rPr>
            </w:pPr>
            <w:r>
              <w:rPr>
                <w:rFonts w:eastAsia="Times New Roman" w:cs="Arial Narrow" w:ascii="Arial Narrow" w:hAnsi="Arial Narrow"/>
                <w:b/>
                <w:sz w:val="20"/>
                <w:szCs w:val="20"/>
              </w:rPr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Размер ячейки:</w:t>
            </w:r>
          </w:p>
        </w:tc>
      </w:tr>
      <w:tr>
        <w:trPr>
          <w:trHeight w:val="447" w:hRule="atLeast"/>
        </w:trPr>
        <w:tc>
          <w:tcPr>
            <w:tcW w:w="5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0"/>
                <w:szCs w:val="20"/>
              </w:rPr>
            </w:pPr>
            <w:r>
              <w:rPr>
                <w:rFonts w:eastAsia="Times New Roman" w:cs="Arial Narrow" w:ascii="Arial Narrow" w:hAnsi="Arial Narrow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А, мм, </w:t>
            </w:r>
            <w:r>
              <w:rPr>
                <w:rFonts w:eastAsia="Symbol" w:cs="Symbol" w:ascii="Symbol" w:hAnsi="Symbol"/>
                <w:sz w:val="20"/>
                <w:szCs w:val="20"/>
              </w:rPr>
              <w:t>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autoSpaceDE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</w:t>
            </w:r>
          </w:p>
        </w:tc>
      </w:tr>
      <w:tr>
        <w:trPr>
          <w:trHeight w:val="553" w:hRule="atLeast"/>
        </w:trPr>
        <w:tc>
          <w:tcPr>
            <w:tcW w:w="5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0"/>
                <w:szCs w:val="20"/>
              </w:rPr>
            </w:pPr>
            <w:r>
              <w:rPr>
                <w:rFonts w:eastAsia="Times New Roman" w:cs="Arial Narrow" w:ascii="Arial Narrow" w:hAnsi="Arial Narrow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В, мм, </w:t>
            </w:r>
            <w:r>
              <w:rPr>
                <w:rFonts w:eastAsia="Symbol" w:cs="Symbol" w:ascii="Symbol" w:hAnsi="Symbol"/>
                <w:sz w:val="20"/>
                <w:szCs w:val="20"/>
              </w:rPr>
              <w:t>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autoSpaceDE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</w:t>
            </w:r>
          </w:p>
        </w:tc>
      </w:tr>
      <w:tr>
        <w:trPr>
          <w:trHeight w:val="526" w:hRule="atLeast"/>
        </w:trPr>
        <w:tc>
          <w:tcPr>
            <w:tcW w:w="5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 Narrow" w:hAnsi="Arial Narrow" w:eastAsia="Times New Roman" w:cs="Arial Narrow"/>
                <w:sz w:val="20"/>
                <w:szCs w:val="20"/>
              </w:rPr>
            </w:pPr>
            <w:r>
              <w:rPr>
                <w:rFonts w:eastAsia="Times New Roman" w:cs="Arial Narrow" w:ascii="Arial Narrow" w:hAnsi="Arial Narrow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Перекос ячеек, град.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autoSpaceDE w:val="false"/>
              <w:spacing w:lineRule="auto" w:line="240" w:before="0" w:after="0"/>
              <w:jc w:val="center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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240" w:after="200"/>
        <w:jc w:val="center"/>
        <w:outlineLvl w:val="0"/>
        <w:rPr/>
      </w:pPr>
      <w:r>
        <w:rPr>
          <w:rFonts w:cs="Times New Roman" w:ascii="Times New Roman" w:hAnsi="Times New Roman"/>
          <w:b/>
          <w:sz w:val="24"/>
          <w:szCs w:val="24"/>
        </w:rPr>
        <w:t>Физико-механические показатели георешеток «СТАБАРМ ТХ»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tbl>
      <w:tblPr>
        <w:tblW w:w="43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2638"/>
        <w:gridCol w:w="2192"/>
      </w:tblGrid>
      <w:tr>
        <w:trPr>
          <w:trHeight w:val="260" w:hRule="atLeast"/>
        </w:trPr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bookmarkStart w:id="6" w:name="_Hlk107331198"/>
            <w:bookmarkEnd w:id="6"/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Наименование показателей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Значение показателей</w:t>
            </w:r>
          </w:p>
        </w:tc>
      </w:tr>
      <w:tr>
        <w:trPr>
          <w:trHeight w:val="510" w:hRule="atLeast"/>
        </w:trPr>
        <w:tc>
          <w:tcPr>
            <w:tcW w:w="3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Георешетка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СТАБАРМ ТХ-170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Георешетка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СТАБАРМ ТХ-180</w:t>
            </w:r>
          </w:p>
        </w:tc>
      </w:tr>
      <w:tr>
        <w:trPr>
          <w:trHeight w:val="448" w:hRule="atLeast"/>
        </w:trPr>
        <w:tc>
          <w:tcPr>
            <w:tcW w:w="39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 Поверхностная плотность, г/м</w:t>
            </w:r>
            <w:r>
              <w:rPr>
                <w:rFonts w:eastAsia="Times New Roman" w:cs="Times New Roman" w:ascii="Times New Roman" w:hAnsi="Times New Roman"/>
                <w:bCs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, не менее </w:t>
            </w:r>
          </w:p>
        </w:tc>
        <w:tc>
          <w:tcPr>
            <w:tcW w:w="26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260</w:t>
            </w:r>
          </w:p>
        </w:tc>
        <w:tc>
          <w:tcPr>
            <w:tcW w:w="21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360</w:t>
            </w:r>
          </w:p>
        </w:tc>
      </w:tr>
      <w:tr>
        <w:trPr>
          <w:trHeight w:val="468" w:hRule="atLeast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 Прочность при растяжении в продольном и поперечном направлениях, кН/м, не менее: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30</w:t>
            </w:r>
          </w:p>
        </w:tc>
      </w:tr>
      <w:tr>
        <w:trPr>
          <w:trHeight w:val="739" w:hRule="atLeast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3 Расчетная прочность при растяжении в продольном и поперечном направлениях, кН/м, не менее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15</w:t>
            </w:r>
          </w:p>
        </w:tc>
      </w:tr>
      <w:tr>
        <w:trPr>
          <w:trHeight w:val="673" w:hRule="atLeast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4 Относительное удлинение при максимальной нагрузке в продольном и поперечном направлениях, %, не более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20</w:t>
            </w:r>
          </w:p>
        </w:tc>
      </w:tr>
      <w:tr>
        <w:trPr>
          <w:trHeight w:val="1115" w:hRule="atLeast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5 Напряжение в материале для продольного и поперечного направления при относительном удлинении, кН/м, не менее,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2%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5%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10%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2,5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6,5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12,5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3,0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7,0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13,0</w:t>
            </w:r>
          </w:p>
        </w:tc>
      </w:tr>
      <w:tr>
        <w:trPr>
          <w:trHeight w:val="455" w:hRule="atLeast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6 Средняя радиальная жесткость, кН/м, не менее при 2% деформации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300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480</w:t>
            </w:r>
          </w:p>
        </w:tc>
      </w:tr>
      <w:tr>
        <w:trPr>
          <w:trHeight w:val="465" w:hRule="atLeast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7 Коэффициент изотропной радиальной жесткости, не менее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0,65</w:t>
            </w:r>
          </w:p>
        </w:tc>
      </w:tr>
      <w:tr>
        <w:trPr>
          <w:trHeight w:val="550" w:hRule="atLeast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8 Устойчивость к ультрафиолетовому излучению%, не менее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90</w:t>
            </w:r>
          </w:p>
        </w:tc>
      </w:tr>
      <w:tr>
        <w:trPr>
          <w:trHeight w:val="355" w:hRule="atLeast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 Устойчивость к многократному замораживанию и оттаиванию, % не менее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90</w:t>
            </w:r>
          </w:p>
        </w:tc>
      </w:tr>
      <w:tr>
        <w:trPr>
          <w:trHeight w:val="164" w:hRule="atLeast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10 Стойкость к циклическим нагрузкам, %, не менее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90</w:t>
            </w:r>
          </w:p>
        </w:tc>
      </w:tr>
      <w:tr>
        <w:trPr>
          <w:trHeight w:val="256" w:hRule="atLeast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11 Устойчивость к агрессивным средам, %, не менее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90</w:t>
            </w:r>
          </w:p>
        </w:tc>
      </w:tr>
      <w:tr>
        <w:trPr>
          <w:trHeight w:val="394" w:hRule="atLeast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12 Устойчивость к микробиологическому воздействию, %,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не менее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90</w:t>
            </w:r>
          </w:p>
        </w:tc>
      </w:tr>
      <w:tr>
        <w:trPr>
          <w:trHeight w:val="550" w:hRule="atLeast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13 Гибкость при отрицательных температурах (принятая температура минус 30°С, радиус закругления (20±1) мм)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-30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-30</w:t>
            </w:r>
          </w:p>
        </w:tc>
      </w:tr>
    </w:tbl>
    <w:p>
      <w:pPr>
        <w:pStyle w:val="Normal"/>
        <w:spacing w:before="0" w:after="0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4"/>
      <w:type w:val="nextPage"/>
      <w:pgSz w:w="11906" w:h="16838"/>
      <w:pgMar w:left="851" w:right="851" w:gutter="0" w:header="709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Arial Narrow">
    <w:charset w:val="cc"/>
    <w:family w:val="swiss"/>
    <w:pitch w:val="variable"/>
  </w:font>
  <w:font w:name="Copperplate Gothic Bold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114300" distR="11430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17335" cy="1976755"/>
              <wp:effectExtent l="0" t="0" r="0" b="0"/>
              <wp:wrapSquare wrapText="bothSides"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7335" cy="19767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tbl>
                          <w:tblPr>
                            <w:tblW w:w="10421" w:type="dxa"/>
                            <w:jc w:val="left"/>
                            <w:tblInd w:w="0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2988"/>
                            <w:gridCol w:w="2365"/>
                            <w:gridCol w:w="5068"/>
                          </w:tblGrid>
                          <w:tr>
                            <w:trPr/>
                            <w:tc>
                              <w:tcPr>
                                <w:tcW w:w="2988" w:type="dxa"/>
                                <w:tcBorders/>
                              </w:tcPr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>
                                    <w:rFonts w:ascii="Times New Roman" w:hAnsi="Times New Roman" w:eastAsia="Times New Roman" w:cs="Times New Roman"/>
                                    <w:sz w:val="24"/>
                                    <w:szCs w:val="24"/>
                                    <w:lang w:val="en-US" w:eastAsia="ru-RU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sz w:val="24"/>
                                    <w:szCs w:val="24"/>
                                    <w:lang w:val="en-US" w:eastAsia="en-US"/>
                                  </w:rPr>
                                  <w:drawing>
                                    <wp:inline distT="0" distB="0" distL="0" distR="0">
                                      <wp:extent cx="1614170" cy="502285"/>
                                      <wp:effectExtent l="0" t="0" r="0" b="0"/>
                                      <wp:docPr id="4" name="Image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1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 l="-22" t="-71" r="-22" b="-7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14170" cy="5022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>
                                <w:pPr>
                                  <w:pStyle w:val="Normal"/>
                                  <w:tabs>
                                    <w:tab w:val="clear" w:pos="708"/>
                                    <w:tab w:val="left" w:pos="1770" w:leader="none"/>
                                  </w:tabs>
                                  <w:spacing w:lineRule="auto" w:line="240" w:before="0" w:after="0"/>
                                  <w:rPr>
                                    <w:rFonts w:ascii="Times New Roman" w:hAnsi="Times New Roman" w:eastAsia="Times New Roman" w:cs="Times New Roman"/>
                                    <w:sz w:val="24"/>
                                    <w:szCs w:val="24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sz w:val="24"/>
                                    <w:szCs w:val="24"/>
                                    <w:lang w:val="en-US" w:eastAsia="en-US"/>
                                  </w:rPr>
                                  <w:drawing>
                                    <wp:inline distT="0" distB="0" distL="0" distR="0">
                                      <wp:extent cx="723900" cy="616585"/>
                                      <wp:effectExtent l="0" t="0" r="0" b="0"/>
                                      <wp:docPr id="5" name="Image2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2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 l="-25" t="-40" r="-25" b="-4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6165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eastAsia="Times New Roman" w:cs="Times New Roman" w:ascii="Times New Roman" w:hAnsi="Times New Roman"/>
                                    <w:sz w:val="24"/>
                                    <w:szCs w:val="24"/>
                                    <w:lang w:val="en-US" w:eastAsia="en-US"/>
                                  </w:rPr>
                                  <w:drawing>
                                    <wp:inline distT="0" distB="0" distL="0" distR="0">
                                      <wp:extent cx="708660" cy="631190"/>
                                      <wp:effectExtent l="0" t="0" r="0" b="0"/>
                                      <wp:docPr id="6" name="Image3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Image3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rcRect l="-14" t="-16" r="-14" b="-16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08660" cy="6311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eastAsia="Times New Roman" w:cs="Times New Roman" w:ascii="Times New Roman" w:hAnsi="Times New Roman"/>
                                    <w:sz w:val="24"/>
                                    <w:szCs w:val="24"/>
                                    <w:lang w:val="en-US" w:eastAsia="en-US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  <w:tcBorders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spacing w:lineRule="auto" w:line="240" w:before="0" w:after="0"/>
                                  <w:rPr>
                                    <w:rFonts w:ascii="Times New Roman" w:hAnsi="Times New Roman" w:eastAsia="Times New Roman" w:cs="Times New Roman"/>
                                    <w:sz w:val="16"/>
                                    <w:szCs w:val="16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sz w:val="16"/>
                                    <w:szCs w:val="16"/>
                                    <w:lang w:eastAsia="ru-RU"/>
                                  </w:rPr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>
                                    <w:rFonts w:ascii="Times New Roman" w:hAnsi="Times New Roman" w:eastAsia="Times New Roman" w:cs="Times New Roman"/>
                                    <w:sz w:val="20"/>
                                    <w:szCs w:val="20"/>
                                    <w:lang w:val="en-US" w:eastAsia="ru-RU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sz w:val="20"/>
                                    <w:szCs w:val="20"/>
                                    <w:lang w:val="en-US" w:eastAsia="ru-RU"/>
                                  </w:rPr>
                                </w:r>
                              </w:p>
                            </w:tc>
                            <w:tc>
                              <w:tcPr>
                                <w:tcW w:w="5068" w:type="dxa"/>
                                <w:tcBorders/>
                              </w:tcPr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both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sz w:val="16"/>
                                    <w:szCs w:val="16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sz w:val="16"/>
                                    <w:szCs w:val="16"/>
                                    <w:lang w:eastAsia="ru-RU"/>
                                  </w:rPr>
                                  <w:t>Юрид. адрес: 125424, Москва г, Волоколамское шоссе, дом № 73, этаж чердак пом. 1 ком. 44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both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sz w:val="16"/>
                                    <w:szCs w:val="16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sz w:val="16"/>
                                    <w:szCs w:val="16"/>
                                    <w:lang w:eastAsia="ru-RU"/>
                                  </w:rPr>
                                  <w:t>Почтовый адрес: 150043, г. Ярославль, ул. Белинского, д.1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both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sz w:val="16"/>
                                    <w:szCs w:val="16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sz w:val="16"/>
                                    <w:szCs w:val="16"/>
                                    <w:lang w:eastAsia="ru-RU"/>
                                  </w:rPr>
                                  <w:t>ИНН  7606086087   КПП 773301001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both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sz w:val="16"/>
                                    <w:szCs w:val="16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sz w:val="16"/>
                                    <w:szCs w:val="16"/>
                                    <w:lang w:eastAsia="ru-RU"/>
                                  </w:rPr>
                                  <w:t>ОКПО 30978849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both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sz w:val="16"/>
                                    <w:szCs w:val="16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sz w:val="16"/>
                                    <w:szCs w:val="16"/>
                                    <w:lang w:eastAsia="ru-RU"/>
                                  </w:rPr>
                                  <w:t>ОГРН 1127606001104 свидетельство серия 76 №002616453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both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sz w:val="16"/>
                                    <w:szCs w:val="16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sz w:val="16"/>
                                    <w:szCs w:val="16"/>
                                    <w:lang w:eastAsia="ru-RU"/>
                                  </w:rPr>
                                  <w:t>от 16.02.2012 г.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both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bCs/>
                                    <w:iCs/>
                                    <w:sz w:val="20"/>
                                    <w:szCs w:val="16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iCs/>
                                    <w:sz w:val="20"/>
                                    <w:szCs w:val="16"/>
                                    <w:lang w:eastAsia="ru-RU"/>
                                  </w:rPr>
                                  <w:t>Тел/факс +7(495)380-08-20, 8 (4852)26 -07-32.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both"/>
                                  <w:rPr/>
                                </w:pPr>
                                <w:hyperlink r:id="rId4">
                                  <w:r>
                                    <w:rPr>
                                      <w:rStyle w:val="InternetLink"/>
                                      <w:rFonts w:eastAsia="Times New Roman" w:cs="Times New Roman" w:ascii="Times New Roman" w:hAnsi="Times New Roman"/>
                                      <w:b/>
                                      <w:bCs/>
                                      <w:iCs/>
                                      <w:sz w:val="20"/>
                                      <w:szCs w:val="16"/>
                                      <w:lang w:eastAsia="ru-RU"/>
                                    </w:rPr>
                                    <w:t>www.stabarm.ru</w:t>
                                  </w:r>
                                </w:hyperlink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iCs/>
                                    <w:sz w:val="20"/>
                                    <w:szCs w:val="16"/>
                                    <w:lang w:eastAsia="ru-RU"/>
                                  </w:rPr>
                                  <w:t>;  info@stabarm.ru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both"/>
                                  <w:rPr>
                                    <w:rFonts w:ascii="Times New Roman" w:hAnsi="Times New Roman" w:eastAsia="Times New Roman" w:cs="Times New Roman"/>
                                    <w:sz w:val="24"/>
                                    <w:szCs w:val="24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sz w:val="16"/>
                                    <w:szCs w:val="16"/>
                                    <w:lang w:eastAsia="ru-RU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>
                                    <w:rFonts w:ascii="Copperplate Gothic Bold" w:hAnsi="Copperplate Gothic Bold" w:eastAsia="Times New Roman" w:cs="Copperplate Gothic Bold"/>
                                    <w:b/>
                                    <w:b/>
                                    <w:sz w:val="24"/>
                                    <w:szCs w:val="24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 w:cs="Copperplate Gothic Bold" w:ascii="Copperplate Gothic Bold" w:hAnsi="Copperplate Gothic Bold"/>
                                    <w:b/>
                                    <w:sz w:val="24"/>
                                    <w:szCs w:val="24"/>
                                    <w:lang w:eastAsia="ru-RU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630" w:hRule="atLeast"/>
                            </w:trPr>
                            <w:tc>
                              <w:tcPr>
                                <w:tcW w:w="10421" w:type="dxa"/>
                                <w:gridSpan w:val="3"/>
                                <w:tcBorders/>
                              </w:tcPr>
                              <w:p>
                                <w:pPr>
                                  <w:pStyle w:val="Normal"/>
                                  <w:spacing w:lineRule="auto" w:line="240" w:before="0" w:after="0"/>
                                  <w:jc w:val="center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bCs/>
                                    <w:sz w:val="44"/>
                                    <w:szCs w:val="44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sz w:val="44"/>
                                    <w:szCs w:val="44"/>
                                    <w:lang w:eastAsia="ru-RU"/>
                                  </w:rPr>
                                  <w:t>ООО «НПО СТАБАРМ»</w:t>
                                </w:r>
                              </w:p>
                            </w:tc>
                          </w:tr>
                          <w:tr>
                            <w:trPr>
                              <w:trHeight w:val="109" w:hRule="atLeast"/>
                            </w:trPr>
                            <w:tc>
                              <w:tcPr>
                                <w:tcW w:w="10421" w:type="dxa"/>
                                <w:gridSpan w:val="3"/>
                                <w:tcBorders/>
                              </w:tcPr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sz w:val="24"/>
                                    <w:szCs w:val="24"/>
                                    <w:lang w:eastAsia="ru-RU"/>
                                  </w:rPr>
                                </w:pPr>
                                <w:r>
                                  <w:rPr>
                                    <w:lang w:val="en-US" w:eastAsia="en-US"/>
                                  </w:rPr>
                                  <w:drawing>
                                    <wp:inline distT="0" distB="0" distL="0" distR="0">
                                      <wp:extent cx="6515100" cy="0"/>
                                      <wp:effectExtent l="114935" t="0" r="114935" b="0"/>
                                      <wp:docPr id="7" name="Прямая соединительная линия 1"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651528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80">
                                                <a:solidFill>
                                                  <a:srgbClr val="000000"/>
                                                </a:solidFill>
                                                <a:miter/>
                                              </a:ln>
                                            </wps:spPr>
                                            <wps:style>
                                              <a:lnRef idx="0"/>
                                              <a:fillRef idx="0"/>
                                              <a:effectRef idx="0"/>
                                              <a:fontRef idx="minor"/>
                                            </wps:style>
                                            <wps:bodyPr/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21.05pt;height:155.65pt;mso-wrap-distance-left:9pt;mso-wrap-distance-right:9pt;mso-wrap-distance-top:0pt;mso-wrap-distance-bottom:0pt;margin-top:0.05pt;mso-position-vertical-relative:text;margin-left:-5.4pt;mso-position-horizontal:center;mso-position-horizontal-relative:margin">
              <v:fill opacity="0f"/>
              <v:textbox inset="0in,0in,0in,0in">
                <w:txbxContent>
                  <w:tbl>
                    <w:tblPr>
                      <w:tblW w:w="10421" w:type="dxa"/>
                      <w:jc w:val="left"/>
                      <w:tblInd w:w="0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>
                    <w:tblGrid>
                      <w:gridCol w:w="2988"/>
                      <w:gridCol w:w="2365"/>
                      <w:gridCol w:w="5068"/>
                    </w:tblGrid>
                    <w:tr>
                      <w:trPr/>
                      <w:tc>
                        <w:tcPr>
                          <w:tcW w:w="2988" w:type="dxa"/>
                          <w:tcBorders/>
                        </w:tcPr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  <w:lang w:val="en-US" w:eastAsia="ru-RU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614170" cy="502285"/>
                                <wp:effectExtent l="0" t="0" r="0" b="0"/>
                                <wp:docPr id="8" name="Image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 l="-22" t="-71" r="-22" b="-7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4170" cy="5022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Normal"/>
                            <w:tabs>
                              <w:tab w:val="clear" w:pos="708"/>
                              <w:tab w:val="left" w:pos="1770" w:leader="none"/>
                            </w:tabs>
                            <w:spacing w:lineRule="auto" w:line="240" w:before="0" w:after="0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723900" cy="616585"/>
                                <wp:effectExtent l="0" t="0" r="0" b="0"/>
                                <wp:docPr id="9" name="Image2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2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 l="-25" t="-40" r="-25" b="-4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165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708660" cy="631190"/>
                                <wp:effectExtent l="0" t="0" r="0" b="0"/>
                                <wp:docPr id="10" name="Image3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3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 l="-14" t="-16" r="-14" b="-1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660" cy="6311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sz w:val="24"/>
                              <w:szCs w:val="24"/>
                              <w:lang w:val="en-US" w:eastAsia="en-US"/>
                            </w:rPr>
                            <w:tab/>
                          </w:r>
                        </w:p>
                      </w:tc>
                      <w:tc>
                        <w:tcPr>
                          <w:tcW w:w="2365" w:type="dxa"/>
                          <w:tcBorders/>
                        </w:tcPr>
                        <w:p>
                          <w:pPr>
                            <w:pStyle w:val="Normal"/>
                            <w:snapToGrid w:val="false"/>
                            <w:spacing w:lineRule="auto" w:line="240" w:before="0" w:after="0"/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16"/>
                              <w:szCs w:val="16"/>
                              <w:lang w:eastAsia="ru-RU"/>
                            </w:rPr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lang w:val="en-US" w:eastAsia="ru-RU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20"/>
                              <w:szCs w:val="20"/>
                              <w:lang w:val="en-US" w:eastAsia="ru-RU"/>
                            </w:rPr>
                          </w:r>
                        </w:p>
                      </w:tc>
                      <w:tc>
                        <w:tcPr>
                          <w:tcW w:w="5068" w:type="dxa"/>
                          <w:tcBorders/>
                        </w:tcPr>
                        <w:p>
                          <w:pPr>
                            <w:pStyle w:val="Normal"/>
                            <w:spacing w:lineRule="auto" w:line="240" w:before="0" w:after="0"/>
                            <w:jc w:val="both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z w:val="16"/>
                              <w:szCs w:val="16"/>
                              <w:lang w:eastAsia="ru-RU"/>
                            </w:rPr>
                            <w:t>Юрид. адрес: 125424, Москва г, Волоколамское шоссе, дом № 73, этаж чердак пом. 1 ком. 44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jc w:val="both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z w:val="16"/>
                              <w:szCs w:val="16"/>
                              <w:lang w:eastAsia="ru-RU"/>
                            </w:rPr>
                            <w:t>Почтовый адрес: 150043, г. Ярославль, ул. Белинского, д.1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jc w:val="both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z w:val="16"/>
                              <w:szCs w:val="16"/>
                              <w:lang w:eastAsia="ru-RU"/>
                            </w:rPr>
                            <w:t>ИНН  7606086087   КПП 773301001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jc w:val="both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z w:val="16"/>
                              <w:szCs w:val="16"/>
                              <w:lang w:eastAsia="ru-RU"/>
                            </w:rPr>
                            <w:t>ОКПО 30978849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jc w:val="both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z w:val="16"/>
                              <w:szCs w:val="16"/>
                              <w:lang w:eastAsia="ru-RU"/>
                            </w:rPr>
                            <w:t>ОГРН 1127606001104 свидетельство серия 76 №002616453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jc w:val="both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z w:val="16"/>
                              <w:szCs w:val="16"/>
                              <w:lang w:eastAsia="ru-RU"/>
                            </w:rPr>
                            <w:t>от 16.02.2012 г.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jc w:val="both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bCs/>
                              <w:iCs/>
                              <w:sz w:val="20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iCs/>
                              <w:sz w:val="20"/>
                              <w:szCs w:val="16"/>
                              <w:lang w:eastAsia="ru-RU"/>
                            </w:rPr>
                            <w:t>Тел/факс +7(495)380-08-20, 8 (4852)26 -07-32.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jc w:val="both"/>
                            <w:rPr/>
                          </w:pPr>
                          <w:hyperlink r:id="rId8">
                            <w:r>
                              <w:rPr>
                                <w:rStyle w:val="InternetLink"/>
                                <w:rFonts w:eastAsia="Times New Roman" w:cs="Times New Roman" w:ascii="Times New Roman" w:hAnsi="Times New Roman"/>
                                <w:b/>
                                <w:bCs/>
                                <w:iCs/>
                                <w:sz w:val="20"/>
                                <w:szCs w:val="16"/>
                                <w:lang w:eastAsia="ru-RU"/>
                              </w:rPr>
                              <w:t>www.stabarm.ru</w:t>
                            </w:r>
                          </w:hyperlink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iCs/>
                              <w:sz w:val="20"/>
                              <w:szCs w:val="16"/>
                              <w:lang w:eastAsia="ru-RU"/>
                            </w:rPr>
                            <w:t>;  info@stabarm.ru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jc w:val="both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rFonts w:ascii="Copperplate Gothic Bold" w:hAnsi="Copperplate Gothic Bold" w:eastAsia="Times New Roman" w:cs="Copperplate Gothic Bold"/>
                              <w:b/>
                              <w:b/>
                              <w:sz w:val="24"/>
                              <w:szCs w:val="24"/>
                              <w:lang w:eastAsia="ru-RU"/>
                            </w:rPr>
                          </w:pPr>
                          <w:r>
                            <w:rPr>
                              <w:rFonts w:eastAsia="Times New Roman" w:cs="Copperplate Gothic Bold" w:ascii="Copperplate Gothic Bold" w:hAnsi="Copperplate Gothic Bold"/>
                              <w:b/>
                              <w:sz w:val="24"/>
                              <w:szCs w:val="24"/>
                              <w:lang w:eastAsia="ru-RU"/>
                            </w:rPr>
                          </w:r>
                        </w:p>
                      </w:tc>
                    </w:tr>
                    <w:tr>
                      <w:trPr>
                        <w:trHeight w:val="630" w:hRule="atLeast"/>
                      </w:trPr>
                      <w:tc>
                        <w:tcPr>
                          <w:tcW w:w="10421" w:type="dxa"/>
                          <w:gridSpan w:val="3"/>
                          <w:tcBorders/>
                        </w:tcPr>
                        <w:p>
                          <w:pPr>
                            <w:pStyle w:val="Normal"/>
                            <w:spacing w:lineRule="auto" w:line="240" w:before="0" w:after="0"/>
                            <w:jc w:val="center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bCs/>
                              <w:sz w:val="44"/>
                              <w:szCs w:val="44"/>
                              <w:lang w:eastAsia="ru-RU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z w:val="44"/>
                              <w:szCs w:val="44"/>
                              <w:lang w:eastAsia="ru-RU"/>
                            </w:rPr>
                            <w:t>ООО «НПО СТАБАРМ»</w:t>
                          </w:r>
                        </w:p>
                      </w:tc>
                    </w:tr>
                    <w:tr>
                      <w:trPr>
                        <w:trHeight w:val="109" w:hRule="atLeast"/>
                      </w:trPr>
                      <w:tc>
                        <w:tcPr>
                          <w:tcW w:w="10421" w:type="dxa"/>
                          <w:gridSpan w:val="3"/>
                          <w:tcBorders/>
                        </w:tcPr>
                        <w:p>
                          <w:pPr>
                            <w:pStyle w:val="Normal"/>
                            <w:spacing w:lineRule="auto" w:line="240" w:before="0" w:after="0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sz w:val="24"/>
                              <w:szCs w:val="24"/>
                              <w:lang w:eastAsia="ru-RU"/>
                            </w:rPr>
                          </w:pPr>
                          <w:r>
                            <w:rPr>
                              <w:lang w:val="en-US" w:eastAsia="en-US"/>
                            </w:rPr>
                            <w:pict>
                              <v:line id="shape_0" from="0pt,4.8pt" to="512.95pt,4.8pt" ID="Прямая соединительная линия 1" stroked="t" o:allowincell="t" style="position:absolute">
                                <v:stroke color="black" weight="19080" joinstyle="miter" endcap="flat"/>
                                <v:fill o:detectmouseclick="t" on="false"/>
                                <w10:wrap type="none"/>
                              </v:line>
                            </w:pict>
                            <w:pict>
                              <v:group id="shape_0" alt="Полотно 9" style="position:absolute;margin-left:0pt;margin-top:0pt;width:683.75pt;height:9pt" coordorigin="0,0" coordsize="13675,180">
                                <v:rect id="shape_0" stroked="f" o:allowincell="t" style="position:absolute;left:0;top:0;width:13674;height:179;mso-wrap-style:none;v-text-anchor:middle;mso-position-horizontal-relative:char">
                                  <v:fill o:detectmouseclick="t" on="false"/>
                                  <v:stroke color="#3465a4" joinstyle="round" endcap="flat"/>
                                  <w10:wrap type="none"/>
                                </v:rect>
                              </v:group>
                            </w:pict>
                          </w:r>
                        </w:p>
                      </w:tc>
                    </w:tr>
                  </w:tbl>
                </w:txbxContent>
              </v:textbox>
              <w10:wrap type="square"/>
            </v:rect>
          </w:pict>
        </mc:Fallback>
      </mc:AlternateContent>
    </w:r>
    <w:r>
      <mc:AlternateContent>
        <mc:Choice Requires="wpg">
          <w:drawing>
            <wp:inline distT="0" distB="0" distL="0" distR="0">
              <wp:extent cx="8683625" cy="114300"/>
              <wp:effectExtent l="0" t="0" r="0" b="0"/>
              <wp:docPr id="13" name="Полотно 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83560" cy="114480"/>
                        <a:chOff x="0" y="0"/>
                        <a:chExt cx="8683560" cy="114480"/>
                      </a:xfrm>
                    </wpg:grpSpPr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8683560" cy="114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shape_0" alt="Полотно 9" style="position:absolute;margin-left:0pt;margin-top:0pt;width:683.75pt;height:9pt" coordorigin="0,0" coordsize="13675,180">
              <v:rect id="shape_0" stroked="f" o:allowincell="t" style="position:absolute;left:0;top:0;width:13674;height:179;mso-wrap-style:none;v-text-anchor:middle;mso-position-horizontal-relative:char"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0"/>
      <w:szCs w:val="20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b w:val="false"/>
      <w:sz w:val="24"/>
      <w:szCs w:val="24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Times New Roman" w:hAnsi="Times New Roman" w:eastAsia="Calibri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Wingdings" w:hAnsi="Wingdings" w:cs="Wingdings"/>
      <w:color w:val="000000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Style11">
    <w:name w:val="Основной шрифт абзаца"/>
    <w:qFormat/>
    <w:rPr/>
  </w:style>
  <w:style w:type="character" w:styleId="Style12">
    <w:name w:val="Текст выноски Знак"/>
    <w:qFormat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FF"/>
      <w:u w:val="single"/>
    </w:rPr>
  </w:style>
  <w:style w:type="character" w:styleId="StrongEmphasis">
    <w:name w:val="Strong"/>
    <w:qFormat/>
    <w:rPr>
      <w:b/>
      <w:bCs/>
    </w:rPr>
  </w:style>
  <w:style w:type="character" w:styleId="Style13">
    <w:name w:val="Верхний колонтитул Знак"/>
    <w:basedOn w:val="Style11"/>
    <w:qFormat/>
    <w:rPr/>
  </w:style>
  <w:style w:type="character" w:styleId="Style14">
    <w:name w:val="Нижний колонтитул Знак"/>
    <w:basedOn w:val="Style11"/>
    <w:qFormat/>
    <w:rPr/>
  </w:style>
  <w:style w:type="character" w:styleId="2">
    <w:name w:val="Заголовок 2 Знак"/>
    <w:qFormat/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3">
    <w:name w:val="Заголовок 3 Знак"/>
    <w:qFormat/>
    <w:rPr>
      <w:rFonts w:ascii="Times New Roman" w:hAnsi="Times New Roman" w:eastAsia="Times New Roman" w:cs="Times New Roman"/>
      <w:b/>
    </w:rPr>
  </w:style>
  <w:style w:type="character" w:styleId="6">
    <w:name w:val="Заголовок 6 Знак"/>
    <w:qFormat/>
    <w:rPr>
      <w:rFonts w:eastAsia="Times New Roman"/>
      <w:b/>
      <w:bCs/>
      <w:sz w:val="22"/>
      <w:szCs w:val="22"/>
    </w:rPr>
  </w:style>
  <w:style w:type="character" w:styleId="Style15">
    <w:name w:val="Основной текст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Style16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List">
    <w:name w:val="List"/>
    <w:basedOn w:val="TextBody"/>
    <w:pPr/>
    <w:rPr>
      <w:rFonts w:eastAsia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eastAsia="DejaVu Sans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TextBodyIndent">
    <w:name w:val="Body Text Indent"/>
    <w:basedOn w:val="Normal"/>
    <w:pPr>
      <w:spacing w:lineRule="auto" w:line="240" w:before="0" w:after="0"/>
      <w:ind w:firstLine="540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Style19">
    <w:name w:val="Абзац списка"/>
    <w:basedOn w:val="Normal"/>
    <w:qFormat/>
    <w:pPr>
      <w:spacing w:before="0" w:after="200"/>
      <w:ind w:left="720" w:hanging="0"/>
      <w:contextualSpacing/>
    </w:pPr>
    <w:rPr>
      <w:rFonts w:eastAsia="Times New Roman"/>
    </w:rPr>
  </w:style>
  <w:style w:type="paragraph" w:styleId="Default">
    <w:name w:val="Default"/>
    <w:qFormat/>
    <w:pPr>
      <w:widowControl/>
      <w:autoSpaceDE w:val="false"/>
      <w:bidi w:val="0"/>
    </w:pPr>
    <w:rPr>
      <w:rFonts w:ascii="Arial" w:hAnsi="Arial" w:eastAsia="Times New Roman" w:cs="Arial"/>
      <w:color w:val="000000"/>
      <w:sz w:val="24"/>
      <w:szCs w:val="24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jpeg"/><Relationship Id="rId4" Type="http://schemas.openxmlformats.org/officeDocument/2006/relationships/hyperlink" Target="" TargetMode="Externa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hyperlink" Target="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2024-04-17T18:23:00Z</dcterms:created>
  <dc:creator>Екатерина Савушкина</dc:creator>
  <dc:description/>
  <cp:keywords/>
  <dc:language>en-US</dc:language>
  <cp:lastModifiedBy>Слепнев Павел</cp:lastModifiedBy>
  <cp:lastPrinted>2022-04-15T10:36:00Z</cp:lastPrinted>
  <dcterms:modified xsi:type="dcterms:W3CDTF">2024-05-08T09:13:00Z</dcterms:modified>
  <cp:revision>4</cp:revision>
  <dc:subject/>
  <dc:title/>
</cp:coreProperties>
</file>